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53" w:rsidRDefault="00A81B53" w:rsidP="00A81B53">
      <w:pPr>
        <w:pStyle w:val="Citationintense"/>
        <w:rPr>
          <w:b/>
          <w:i w:val="0"/>
          <w:sz w:val="28"/>
          <w:szCs w:val="28"/>
        </w:rPr>
      </w:pPr>
      <w:r w:rsidRPr="00A81B53">
        <w:rPr>
          <w:b/>
          <w:i w:val="0"/>
          <w:sz w:val="28"/>
          <w:szCs w:val="28"/>
        </w:rPr>
        <w:t>Témoignage-métier GNIAC</w:t>
      </w:r>
    </w:p>
    <w:p w:rsidR="00A81B53" w:rsidRDefault="006804E5" w:rsidP="00A81B53">
      <w:pPr>
        <w:pStyle w:val="Titre1"/>
        <w:jc w:val="center"/>
      </w:pPr>
      <w:r>
        <w:t>Angélina LAMY – Fondation ACCENTURE</w:t>
      </w:r>
    </w:p>
    <w:p w:rsidR="00D7037C" w:rsidRDefault="00D7037C" w:rsidP="00D7037C"/>
    <w:p w:rsidR="00D7037C" w:rsidRPr="00D7037C" w:rsidRDefault="006804E5" w:rsidP="00D7037C">
      <w:pPr>
        <w:jc w:val="center"/>
      </w:pPr>
      <w:r>
        <w:rPr>
          <w:noProof/>
        </w:rPr>
        <w:drawing>
          <wp:inline distT="0" distB="0" distL="0" distR="0" wp14:anchorId="289717BD" wp14:editId="26284E7B">
            <wp:extent cx="2857500" cy="1600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n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95C" w:rsidRDefault="0095795C" w:rsidP="009142AA">
      <w:pPr>
        <w:jc w:val="center"/>
      </w:pPr>
    </w:p>
    <w:p w:rsidR="00A81B53" w:rsidRDefault="006804E5" w:rsidP="009142AA">
      <w:pPr>
        <w:jc w:val="center"/>
      </w:pPr>
      <w:r>
        <w:t>1</w:t>
      </w:r>
      <w:r w:rsidR="000E02C9">
        <w:t>5 mars</w:t>
      </w:r>
      <w:r w:rsidR="009142AA">
        <w:t xml:space="preserve"> 2018 </w:t>
      </w:r>
    </w:p>
    <w:p w:rsidR="009142AA" w:rsidRDefault="00547F4A" w:rsidP="009142AA">
      <w:pPr>
        <w:jc w:val="center"/>
        <w:rPr>
          <w:b/>
        </w:rPr>
      </w:pPr>
      <w:r>
        <w:rPr>
          <w:b/>
        </w:rPr>
        <w:t>« </w:t>
      </w:r>
      <w:r w:rsidR="006804E5">
        <w:rPr>
          <w:b/>
        </w:rPr>
        <w:t xml:space="preserve">Je suis en </w:t>
      </w:r>
      <w:proofErr w:type="spellStart"/>
      <w:r w:rsidR="006804E5">
        <w:rPr>
          <w:b/>
        </w:rPr>
        <w:t>burn</w:t>
      </w:r>
      <w:proofErr w:type="spellEnd"/>
      <w:r w:rsidR="006804E5">
        <w:rPr>
          <w:b/>
        </w:rPr>
        <w:t xml:space="preserve"> out positif</w:t>
      </w:r>
      <w:r>
        <w:rPr>
          <w:b/>
        </w:rPr>
        <w:t> »</w:t>
      </w:r>
      <w:bookmarkStart w:id="0" w:name="_GoBack"/>
      <w:bookmarkEnd w:id="0"/>
    </w:p>
    <w:p w:rsidR="00547F4A" w:rsidRPr="00547F4A" w:rsidRDefault="00547F4A" w:rsidP="009142AA">
      <w:pPr>
        <w:jc w:val="center"/>
        <w:rPr>
          <w:b/>
        </w:rPr>
      </w:pPr>
    </w:p>
    <w:p w:rsidR="00A81B53" w:rsidRPr="00657318" w:rsidRDefault="00A81B53" w:rsidP="00A81B53">
      <w:pPr>
        <w:jc w:val="both"/>
        <w:rPr>
          <w:b/>
        </w:rPr>
      </w:pPr>
      <w:r w:rsidRPr="007E75D6">
        <w:rPr>
          <w:b/>
          <w:u w:val="single"/>
        </w:rPr>
        <w:t>Thématiques abordée</w:t>
      </w:r>
      <w:r w:rsidR="00657318">
        <w:rPr>
          <w:b/>
          <w:u w:val="single"/>
        </w:rPr>
        <w:t>s</w:t>
      </w:r>
      <w:r w:rsidR="00657318">
        <w:rPr>
          <w:b/>
        </w:rPr>
        <w:t> :</w:t>
      </w:r>
      <w:r w:rsidR="0095795C">
        <w:rPr>
          <w:b/>
        </w:rPr>
        <w:t xml:space="preserve"> parcours,</w:t>
      </w:r>
      <w:r w:rsidR="008E113E">
        <w:rPr>
          <w:b/>
        </w:rPr>
        <w:t xml:space="preserve"> </w:t>
      </w:r>
      <w:r w:rsidR="007C268C">
        <w:rPr>
          <w:b/>
        </w:rPr>
        <w:t>description de la structure, projets</w:t>
      </w:r>
      <w:r w:rsidR="0095795C">
        <w:rPr>
          <w:b/>
        </w:rPr>
        <w:t xml:space="preserve"> et challenges.</w:t>
      </w:r>
    </w:p>
    <w:p w:rsidR="000E02C9" w:rsidRDefault="006804E5" w:rsidP="007C268C">
      <w:pPr>
        <w:jc w:val="both"/>
      </w:pPr>
      <w:bookmarkStart w:id="1" w:name="_Hlk507173316"/>
      <w:r>
        <w:rPr>
          <w:b/>
        </w:rPr>
        <w:t>Angélina Lamy</w:t>
      </w:r>
      <w:r>
        <w:t xml:space="preserve"> est depuis mi-2016, déléguée générale de la </w:t>
      </w:r>
      <w:hyperlink r:id="rId7" w:history="1">
        <w:r w:rsidRPr="006804E5">
          <w:rPr>
            <w:rStyle w:val="Lienhypertexte"/>
            <w:b/>
          </w:rPr>
          <w:t>fondation Accenture</w:t>
        </w:r>
      </w:hyperlink>
      <w:r>
        <w:rPr>
          <w:b/>
        </w:rPr>
        <w:t>.</w:t>
      </w:r>
      <w:bookmarkEnd w:id="1"/>
      <w:r>
        <w:rPr>
          <w:b/>
        </w:rPr>
        <w:t xml:space="preserve"> </w:t>
      </w:r>
      <w:r>
        <w:t xml:space="preserve">Angélina a passé d’abord 12 années chez Accenture en conseil banques-assurances, puis a pris une année de congé sabbatique en Asie où elle a assuré des missions pour la Croix-Rouge et </w:t>
      </w:r>
      <w:hyperlink r:id="rId8" w:history="1">
        <w:r w:rsidRPr="009F3CB3">
          <w:rPr>
            <w:rStyle w:val="Lienhypertexte"/>
          </w:rPr>
          <w:t>P</w:t>
        </w:r>
        <w:r w:rsidR="009F3CB3" w:rsidRPr="009F3CB3">
          <w:rPr>
            <w:rStyle w:val="Lienhypertexte"/>
          </w:rPr>
          <w:t>a</w:t>
        </w:r>
        <w:r w:rsidRPr="009F3CB3">
          <w:rPr>
            <w:rStyle w:val="Lienhypertexte"/>
          </w:rPr>
          <w:t>sserelle</w:t>
        </w:r>
        <w:r w:rsidR="009F3CB3" w:rsidRPr="009F3CB3">
          <w:rPr>
            <w:rStyle w:val="Lienhypertexte"/>
          </w:rPr>
          <w:t>s Numériques</w:t>
        </w:r>
      </w:hyperlink>
      <w:r w:rsidR="009F3CB3">
        <w:t xml:space="preserve">. En rentrant, elle s’est engagée un jour par semaine en mécénat de compétences pour coacher des associations, avant de le faire à plein temps pour </w:t>
      </w:r>
      <w:hyperlink r:id="rId9" w:history="1">
        <w:r w:rsidR="009F3CB3" w:rsidRPr="009F3CB3">
          <w:rPr>
            <w:rStyle w:val="Lienhypertexte"/>
          </w:rPr>
          <w:t>les Entreprises pour la Cité</w:t>
        </w:r>
      </w:hyperlink>
      <w:r w:rsidR="009F3CB3">
        <w:t xml:space="preserve"> dans le cadre de </w:t>
      </w:r>
      <w:hyperlink r:id="rId10" w:history="1">
        <w:r w:rsidR="009F3CB3" w:rsidRPr="009F3CB3">
          <w:rPr>
            <w:rStyle w:val="Lienhypertexte"/>
          </w:rPr>
          <w:t>la charte Entreprises et Quartiers</w:t>
        </w:r>
      </w:hyperlink>
      <w:r w:rsidR="009F3CB3">
        <w:t xml:space="preserve">. C’est ainsi qu’elle a rencontré Thierry du </w:t>
      </w:r>
      <w:proofErr w:type="spellStart"/>
      <w:r w:rsidR="009F3CB3">
        <w:t>Bouëtiez</w:t>
      </w:r>
      <w:proofErr w:type="spellEnd"/>
      <w:r w:rsidR="009F3CB3">
        <w:t xml:space="preserve"> au CGET et qu’elle a rejoint GNIAC. En 2015, Angélina a repris des missions de conseil au sein d’Accenture, </w:t>
      </w:r>
      <w:r w:rsidR="00382E63">
        <w:t>tout en continuant</w:t>
      </w:r>
      <w:r w:rsidR="009F3CB3">
        <w:t xml:space="preserve"> à s’investir dans la fondation, </w:t>
      </w:r>
      <w:r w:rsidR="007B5C68">
        <w:t>avant de prendre officiellement le poste de déléguée générale à plein temps</w:t>
      </w:r>
      <w:r w:rsidR="009F3CB3">
        <w:t>.</w:t>
      </w:r>
      <w:r w:rsidR="0065740F">
        <w:t xml:space="preserve"> L’équipe compte </w:t>
      </w:r>
      <w:r w:rsidR="007B5C68">
        <w:t>2</w:t>
      </w:r>
      <w:r w:rsidR="0065740F">
        <w:t xml:space="preserve"> salariés et un poste en alternance, pour un budget qui représente l’équivalent de 5000 jours/hommes par an</w:t>
      </w:r>
      <w:r w:rsidR="007B5C68">
        <w:t>.</w:t>
      </w:r>
    </w:p>
    <w:p w:rsidR="009F3CB3" w:rsidRDefault="009F3CB3" w:rsidP="007C268C">
      <w:pPr>
        <w:jc w:val="both"/>
      </w:pPr>
      <w:r>
        <w:t xml:space="preserve">La fondation travaille sur 2 axes principaux : </w:t>
      </w:r>
    </w:p>
    <w:p w:rsidR="009F3CB3" w:rsidRPr="00BE5A59" w:rsidRDefault="007B5C68" w:rsidP="009F3CB3">
      <w:pPr>
        <w:pStyle w:val="Paragraphedeliste"/>
        <w:numPr>
          <w:ilvl w:val="0"/>
          <w:numId w:val="5"/>
        </w:numPr>
        <w:jc w:val="both"/>
        <w:rPr>
          <w:b/>
        </w:rPr>
      </w:pPr>
      <w:r>
        <w:t>« </w:t>
      </w:r>
      <w:proofErr w:type="spellStart"/>
      <w:r>
        <w:t>Skills</w:t>
      </w:r>
      <w:proofErr w:type="spellEnd"/>
      <w:r>
        <w:t xml:space="preserve"> to </w:t>
      </w:r>
      <w:proofErr w:type="spellStart"/>
      <w:r>
        <w:t>Succeed</w:t>
      </w:r>
      <w:proofErr w:type="spellEnd"/>
      <w:r>
        <w:t xml:space="preserve">, </w:t>
      </w:r>
      <w:r>
        <w:rPr>
          <w:b/>
        </w:rPr>
        <w:t>des compétences pour réussir »</w:t>
      </w:r>
    </w:p>
    <w:p w:rsidR="009F3CB3" w:rsidRPr="00BE5A59" w:rsidRDefault="009F3CB3" w:rsidP="009F3CB3">
      <w:pPr>
        <w:pStyle w:val="Paragraphedeliste"/>
        <w:jc w:val="both"/>
        <w:rPr>
          <w:iCs/>
        </w:rPr>
      </w:pPr>
      <w:r w:rsidRPr="00BE5A59">
        <w:rPr>
          <w:iCs/>
        </w:rPr>
        <w:t xml:space="preserve">L’ambition est de développer les compétences de 3 millions de personnes dans le monde d'ici à 2020, pour les accompagner vers l'emploi et l’entrepreneuriat. </w:t>
      </w:r>
      <w:r w:rsidR="00BE5A59" w:rsidRPr="00BE5A59">
        <w:rPr>
          <w:iCs/>
        </w:rPr>
        <w:t xml:space="preserve"> Ainsi, 25% des collaborateurs sont engagés </w:t>
      </w:r>
      <w:r w:rsidR="007B5C68">
        <w:rPr>
          <w:iCs/>
        </w:rPr>
        <w:t>sur ce programme</w:t>
      </w:r>
      <w:r w:rsidR="00BE5A59" w:rsidRPr="00BE5A59">
        <w:rPr>
          <w:iCs/>
        </w:rPr>
        <w:t xml:space="preserve"> en </w:t>
      </w:r>
      <w:r w:rsidR="007B5C68">
        <w:rPr>
          <w:iCs/>
        </w:rPr>
        <w:t xml:space="preserve">France, ce </w:t>
      </w:r>
      <w:r w:rsidR="00BE5A59" w:rsidRPr="00BE5A59">
        <w:rPr>
          <w:iCs/>
        </w:rPr>
        <w:t>qui représente 5000 jours par an</w:t>
      </w:r>
      <w:r w:rsidR="00134680">
        <w:rPr>
          <w:iCs/>
        </w:rPr>
        <w:t xml:space="preserve"> de mécénat de compétences, pour un impact estimé par les partenaires accompagnés, de </w:t>
      </w:r>
      <w:r w:rsidR="00BE5A59" w:rsidRPr="00BE5A59">
        <w:rPr>
          <w:iCs/>
        </w:rPr>
        <w:t xml:space="preserve">25000 bénéficiaires éloignés de l’emploi. Une soixantaine d’associations œuvrant dans l’emploi et l’insertion sont ainsi accompagnées sur du conseil </w:t>
      </w:r>
      <w:r w:rsidR="00134680">
        <w:rPr>
          <w:iCs/>
        </w:rPr>
        <w:t>technologique, digital et stratégique</w:t>
      </w:r>
      <w:r w:rsidR="00BE5A59" w:rsidRPr="00BE5A59">
        <w:rPr>
          <w:iCs/>
        </w:rPr>
        <w:t>.</w:t>
      </w:r>
    </w:p>
    <w:p w:rsidR="00BE5A59" w:rsidRPr="00BE5A59" w:rsidRDefault="00BE5A59" w:rsidP="009F3CB3">
      <w:pPr>
        <w:pStyle w:val="Paragraphedeliste"/>
        <w:jc w:val="both"/>
      </w:pPr>
    </w:p>
    <w:p w:rsidR="00BE5A59" w:rsidRPr="0065740F" w:rsidRDefault="005D046F" w:rsidP="00BE5A59">
      <w:pPr>
        <w:pStyle w:val="Paragraphedeliste"/>
        <w:numPr>
          <w:ilvl w:val="0"/>
          <w:numId w:val="5"/>
        </w:numPr>
        <w:jc w:val="both"/>
      </w:pPr>
      <w:hyperlink r:id="rId11" w:history="1">
        <w:r w:rsidR="009F3CB3" w:rsidRPr="00BE5A59">
          <w:rPr>
            <w:rStyle w:val="Lienhypertexte"/>
            <w:b/>
          </w:rPr>
          <w:t>L’Innovation sociale :</w:t>
        </w:r>
        <w:r w:rsidR="009F3CB3" w:rsidRPr="00BE5A59">
          <w:rPr>
            <w:rStyle w:val="Lienhypertexte"/>
          </w:rPr>
          <w:t xml:space="preserve"> </w:t>
        </w:r>
      </w:hyperlink>
      <w:r w:rsidR="00BE5A59" w:rsidRPr="00BE5A59">
        <w:rPr>
          <w:iCs/>
        </w:rPr>
        <w:t xml:space="preserve">  </w:t>
      </w:r>
      <w:r w:rsidR="00BE5A59" w:rsidRPr="00BE5A59">
        <w:rPr>
          <w:bCs/>
          <w:iCs/>
        </w:rPr>
        <w:t>une trentaine</w:t>
      </w:r>
      <w:r w:rsidR="00BE5A59" w:rsidRPr="00BE5A59">
        <w:rPr>
          <w:iCs/>
        </w:rPr>
        <w:t> de partenaires sont mobilisés sur </w:t>
      </w:r>
      <w:r w:rsidR="0065740F">
        <w:rPr>
          <w:bCs/>
          <w:iCs/>
        </w:rPr>
        <w:t>plusieurs</w:t>
      </w:r>
      <w:r w:rsidR="00BE5A59" w:rsidRPr="00BE5A59">
        <w:rPr>
          <w:b/>
          <w:bCs/>
          <w:iCs/>
        </w:rPr>
        <w:t xml:space="preserve"> </w:t>
      </w:r>
      <w:r w:rsidR="00BE5A59" w:rsidRPr="0065740F">
        <w:rPr>
          <w:bCs/>
          <w:iCs/>
        </w:rPr>
        <w:t>piliers</w:t>
      </w:r>
      <w:r w:rsidR="00BE5A59" w:rsidRPr="00BE5A59">
        <w:rPr>
          <w:iCs/>
        </w:rPr>
        <w:t xml:space="preserve"> pour impulser l'innovation sociale, avec pour ambition de tester des solutions innovantes et </w:t>
      </w:r>
      <w:r w:rsidR="00BE5A59" w:rsidRPr="00BE5A59">
        <w:rPr>
          <w:iCs/>
        </w:rPr>
        <w:lastRenderedPageBreak/>
        <w:t>collectives pour adresser des problèmes de société.</w:t>
      </w:r>
      <w:r w:rsidR="0065740F">
        <w:rPr>
          <w:iCs/>
        </w:rPr>
        <w:t xml:space="preserve"> </w:t>
      </w:r>
      <w:r w:rsidR="0065740F">
        <w:rPr>
          <w:b/>
          <w:iCs/>
        </w:rPr>
        <w:t>L’ambition et les enjeux sont de renforcer l’impact social des actions menées, emmener de nouveaux partenaires dans ce mouvement d’impulsion de l’innovation sociale.</w:t>
      </w:r>
    </w:p>
    <w:p w:rsidR="0065740F" w:rsidRPr="00BC5A57" w:rsidRDefault="0065740F" w:rsidP="0065740F">
      <w:pPr>
        <w:pStyle w:val="Paragraphedeliste"/>
        <w:jc w:val="both"/>
      </w:pPr>
    </w:p>
    <w:p w:rsidR="00BC5A57" w:rsidRDefault="00BC5A57" w:rsidP="00BC5A57">
      <w:pPr>
        <w:pStyle w:val="Paragraphedeliste"/>
        <w:numPr>
          <w:ilvl w:val="1"/>
          <w:numId w:val="5"/>
        </w:numPr>
        <w:jc w:val="both"/>
      </w:pPr>
      <w:r w:rsidRPr="003A7D04">
        <w:rPr>
          <w:u w:val="single"/>
        </w:rPr>
        <w:t>Pilier « modèles hybrides du social business »</w:t>
      </w:r>
      <w:r>
        <w:t xml:space="preserve">, création </w:t>
      </w:r>
      <w:r w:rsidR="00134680">
        <w:t>d’</w:t>
      </w:r>
      <w:proofErr w:type="spellStart"/>
      <w:r w:rsidR="00134680">
        <w:t>Acces</w:t>
      </w:r>
      <w:proofErr w:type="spellEnd"/>
      <w:r w:rsidR="00134680">
        <w:t>, Inclusive Tech, la 1ère</w:t>
      </w:r>
      <w:r>
        <w:t xml:space="preserve"> « </w:t>
      </w:r>
      <w:proofErr w:type="spellStart"/>
      <w:r>
        <w:t>Joint Venture</w:t>
      </w:r>
      <w:proofErr w:type="spellEnd"/>
      <w:r>
        <w:t xml:space="preserve"> Sociale</w:t>
      </w:r>
      <w:r w:rsidR="00134680">
        <w:t> » sur les métiers du numérique</w:t>
      </w:r>
      <w:r>
        <w:t xml:space="preserve">, </w:t>
      </w:r>
      <w:r w:rsidR="00134680">
        <w:t xml:space="preserve">réalisée entre la Fondation Accenture et Ares, le leader en Île de France de l’accompagnement social. En 1 an, </w:t>
      </w:r>
      <w:proofErr w:type="spellStart"/>
      <w:r w:rsidR="00134680">
        <w:t>Acces</w:t>
      </w:r>
      <w:proofErr w:type="spellEnd"/>
      <w:r w:rsidR="00134680">
        <w:t xml:space="preserve"> a réalisé 5 missions pour des grandes entreprises françaises, permettant ainsi à 20 personnes de retrouver un emploi et de monter en compétences sur le numérique. </w:t>
      </w:r>
    </w:p>
    <w:p w:rsidR="00BC5A57" w:rsidRDefault="00BC5A57" w:rsidP="00BC5A57">
      <w:pPr>
        <w:pStyle w:val="Paragraphedeliste"/>
        <w:numPr>
          <w:ilvl w:val="1"/>
          <w:numId w:val="5"/>
        </w:numPr>
        <w:jc w:val="both"/>
      </w:pPr>
      <w:r w:rsidRPr="003A7D04">
        <w:rPr>
          <w:u w:val="single"/>
        </w:rPr>
        <w:t>Pilier Expérimentation Territoriale</w:t>
      </w:r>
      <w:r>
        <w:t xml:space="preserve">, avec Territoires Zéro Chômeurs </w:t>
      </w:r>
      <w:r w:rsidR="00134680">
        <w:t xml:space="preserve">de </w:t>
      </w:r>
      <w:r>
        <w:t>Longue Durée</w:t>
      </w:r>
      <w:r w:rsidR="00B82F10">
        <w:t xml:space="preserve"> pour expérimenter le modèle de l’entreprise à but d’emploi, comme solution au chômage de longue durée (pilotage en mécénat de compétences de l’entreprise de Villeurbanne) ; </w:t>
      </w:r>
      <w:r>
        <w:t>et le « Collectif pour l’Emploi »</w:t>
      </w:r>
      <w:r w:rsidR="00134680">
        <w:t>, créé a</w:t>
      </w:r>
      <w:r w:rsidR="003A7D04">
        <w:t>vec</w:t>
      </w:r>
      <w:r w:rsidR="00134680">
        <w:t xml:space="preserve"> les Fondations</w:t>
      </w:r>
      <w:r w:rsidR="003A7D04">
        <w:t xml:space="preserve"> AG2R, SFR, Adecco </w:t>
      </w:r>
      <w:r w:rsidR="00134680">
        <w:t xml:space="preserve">et Vinci Insertion Emploi, sur 3 territoires, </w:t>
      </w:r>
      <w:r w:rsidR="003A7D04">
        <w:t>Lyon, Marseille et la Seine-Saint-Denis</w:t>
      </w:r>
      <w:r w:rsidR="00B82F10">
        <w:t>, pour construire et expérimenter avec les acteurs du territoire des solutions innovantes à la question des métiers en tension (entreprises, associations, acteurs de l’emploi)</w:t>
      </w:r>
    </w:p>
    <w:p w:rsidR="00BC5A57" w:rsidRDefault="00BC5A57" w:rsidP="00BC5A57">
      <w:pPr>
        <w:pStyle w:val="Paragraphedeliste"/>
        <w:numPr>
          <w:ilvl w:val="1"/>
          <w:numId w:val="5"/>
        </w:numPr>
        <w:jc w:val="both"/>
      </w:pPr>
      <w:r w:rsidRPr="003A7D04">
        <w:rPr>
          <w:u w:val="single"/>
        </w:rPr>
        <w:t>Pilier soutien à des incubateur</w:t>
      </w:r>
      <w:r w:rsidR="003A7D04" w:rsidRPr="003A7D04">
        <w:rPr>
          <w:u w:val="single"/>
        </w:rPr>
        <w:t>s</w:t>
      </w:r>
      <w:r w:rsidR="003A7D04">
        <w:t xml:space="preserve"> en mécénat de compétences, avec le groupe SOS </w:t>
      </w:r>
      <w:r w:rsidR="00B82F10">
        <w:t xml:space="preserve">et le programme </w:t>
      </w:r>
      <w:proofErr w:type="spellStart"/>
      <w:r w:rsidR="00B82F10">
        <w:t>UpFactory</w:t>
      </w:r>
      <w:proofErr w:type="spellEnd"/>
      <w:r w:rsidR="00B82F10">
        <w:t xml:space="preserve"> </w:t>
      </w:r>
      <w:r w:rsidR="003A7D04">
        <w:t xml:space="preserve">(parcours d’idéation pour de jeunes pousses), Système D (incubateur d’innovation démocratique) et </w:t>
      </w:r>
      <w:proofErr w:type="spellStart"/>
      <w:r w:rsidR="003A7D04">
        <w:t>ShareIt</w:t>
      </w:r>
      <w:proofErr w:type="spellEnd"/>
      <w:r w:rsidR="003A7D04">
        <w:t xml:space="preserve"> (</w:t>
      </w:r>
      <w:r w:rsidR="00B82F10">
        <w:t xml:space="preserve">accélérateur </w:t>
      </w:r>
      <w:r w:rsidR="003A7D04">
        <w:t xml:space="preserve">numérique </w:t>
      </w:r>
      <w:r w:rsidR="00B82F10">
        <w:t xml:space="preserve">d’Ashoka incubé </w:t>
      </w:r>
      <w:r w:rsidR="003A7D04">
        <w:t>à</w:t>
      </w:r>
      <w:r w:rsidR="00B82F10">
        <w:t xml:space="preserve"> la</w:t>
      </w:r>
      <w:r w:rsidR="003A7D04">
        <w:t xml:space="preserve"> Station F</w:t>
      </w:r>
      <w:r w:rsidR="00B82F10">
        <w:t>,</w:t>
      </w:r>
      <w:r w:rsidR="003A7D04">
        <w:t xml:space="preserve"> qui accompagne des entrepreneurs sociaux ayant déjà </w:t>
      </w:r>
      <w:r w:rsidR="00B82F10">
        <w:t xml:space="preserve">démontré leur impact, dans leur </w:t>
      </w:r>
      <w:r w:rsidR="003A7D04">
        <w:t>stratégie numérique – ex</w:t>
      </w:r>
      <w:r w:rsidR="00B82F10">
        <w:t xml:space="preserve"> : création d’un réseau social pour </w:t>
      </w:r>
      <w:r w:rsidR="003A7D04">
        <w:t xml:space="preserve"> Singa</w:t>
      </w:r>
      <w:r w:rsidR="00B82F10">
        <w:t xml:space="preserve"> permettant de mettre en relation personnes réfugiées et accueillantes</w:t>
      </w:r>
      <w:r w:rsidR="003A7D04">
        <w:t xml:space="preserve"> – en 2018, 8 nouvelles structures seront accompagnées)</w:t>
      </w:r>
    </w:p>
    <w:p w:rsidR="00BC5A57" w:rsidRDefault="00BC5A57" w:rsidP="00BC5A57">
      <w:pPr>
        <w:pStyle w:val="Paragraphedeliste"/>
        <w:numPr>
          <w:ilvl w:val="1"/>
          <w:numId w:val="5"/>
        </w:numPr>
        <w:jc w:val="both"/>
      </w:pPr>
      <w:r w:rsidRPr="0065740F">
        <w:rPr>
          <w:u w:val="single"/>
        </w:rPr>
        <w:t>Pilier Veille et Formation</w:t>
      </w:r>
      <w:r>
        <w:t xml:space="preserve">, </w:t>
      </w:r>
      <w:r w:rsidR="00B82F10">
        <w:t xml:space="preserve">avec la mise en place d’un parcours de formation, inscrit dans le parcours de carrière des collaborateurs Accenture, pour les former à l’Economie Sociale et Solidaire et </w:t>
      </w:r>
      <w:r w:rsidR="006B38B3">
        <w:t xml:space="preserve">à </w:t>
      </w:r>
      <w:r w:rsidR="00B82F10">
        <w:t>l’Innovation sociale</w:t>
      </w:r>
      <w:r w:rsidR="006B38B3">
        <w:t xml:space="preserve"> ; et le soutien des </w:t>
      </w:r>
      <w:r>
        <w:t>UP Conférences</w:t>
      </w:r>
      <w:r w:rsidR="006B38B3">
        <w:t xml:space="preserve"> organisées par le Groupe SOS sur tout le territoire.</w:t>
      </w:r>
    </w:p>
    <w:p w:rsidR="00BC5A57" w:rsidRDefault="00BC5A57" w:rsidP="0065740F">
      <w:pPr>
        <w:jc w:val="both"/>
      </w:pPr>
    </w:p>
    <w:p w:rsidR="0065740F" w:rsidRPr="00BE5A59" w:rsidRDefault="0065740F" w:rsidP="0065740F">
      <w:pPr>
        <w:jc w:val="both"/>
      </w:pPr>
      <w:r>
        <w:t>Angélina rêve qu’un jour la fondation n’existe plus…</w:t>
      </w:r>
      <w:r w:rsidR="00E6605E">
        <w:t xml:space="preserve">et que </w:t>
      </w:r>
      <w:r w:rsidR="00E72970">
        <w:t>ses</w:t>
      </w:r>
      <w:r w:rsidR="00E6605E">
        <w:t xml:space="preserve"> actions soient </w:t>
      </w:r>
      <w:r w:rsidR="00E72970">
        <w:t xml:space="preserve">inhérentes et stratégiques dans tous les départements de l’entreprise (RU, Achats, Opérations…). Pour le moment, </w:t>
      </w:r>
      <w:r>
        <w:t xml:space="preserve">l’important est de travailler sur des sujets qui ont du sens </w:t>
      </w:r>
      <w:r w:rsidR="00E72970">
        <w:t xml:space="preserve">pour elle </w:t>
      </w:r>
      <w:r>
        <w:t>et pour la société</w:t>
      </w:r>
      <w:r w:rsidR="00E72970">
        <w:t>, en collaboration avec un écosystème florissant qu’est celui de l’Economie Sociale et Solidaire dont nous avons tous intérêt à s’inspirer</w:t>
      </w:r>
      <w:r>
        <w:t>. Les possibilités de créer et d’innover dans ce secteur de l’innovation sociale sont immenses, celui-ci représentant un large terrain d’expérimentation permanent</w:t>
      </w:r>
      <w:r w:rsidR="00E6605E">
        <w:t>, avec toujours comme unique but l’impact social.</w:t>
      </w:r>
    </w:p>
    <w:p w:rsidR="009F3CB3" w:rsidRPr="006804E5" w:rsidRDefault="009F3CB3" w:rsidP="00BE5A59">
      <w:pPr>
        <w:pStyle w:val="Paragraphedeliste"/>
        <w:jc w:val="both"/>
      </w:pPr>
    </w:p>
    <w:sectPr w:rsidR="009F3CB3" w:rsidRPr="00680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B32"/>
    <w:multiLevelType w:val="hybridMultilevel"/>
    <w:tmpl w:val="26CEF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5AE"/>
    <w:multiLevelType w:val="hybridMultilevel"/>
    <w:tmpl w:val="C1A8FA68"/>
    <w:lvl w:ilvl="0" w:tplc="EC52CF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40374"/>
    <w:multiLevelType w:val="hybridMultilevel"/>
    <w:tmpl w:val="69A8E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6719"/>
    <w:multiLevelType w:val="multilevel"/>
    <w:tmpl w:val="03E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6121C"/>
    <w:multiLevelType w:val="hybridMultilevel"/>
    <w:tmpl w:val="ED964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3"/>
    <w:rsid w:val="000B5597"/>
    <w:rsid w:val="000D7B19"/>
    <w:rsid w:val="000E02C9"/>
    <w:rsid w:val="00134680"/>
    <w:rsid w:val="001E7687"/>
    <w:rsid w:val="00263197"/>
    <w:rsid w:val="00356F1A"/>
    <w:rsid w:val="00382E63"/>
    <w:rsid w:val="003A3E16"/>
    <w:rsid w:val="003A7D04"/>
    <w:rsid w:val="003E5AE7"/>
    <w:rsid w:val="00415A36"/>
    <w:rsid w:val="00493FCF"/>
    <w:rsid w:val="004C7FAB"/>
    <w:rsid w:val="00547F4A"/>
    <w:rsid w:val="005770F9"/>
    <w:rsid w:val="005B5D85"/>
    <w:rsid w:val="005C4567"/>
    <w:rsid w:val="005D046F"/>
    <w:rsid w:val="00611DA4"/>
    <w:rsid w:val="00657318"/>
    <w:rsid w:val="0065740F"/>
    <w:rsid w:val="0068016B"/>
    <w:rsid w:val="006804E5"/>
    <w:rsid w:val="006B38B3"/>
    <w:rsid w:val="00762C38"/>
    <w:rsid w:val="00770BC5"/>
    <w:rsid w:val="00780165"/>
    <w:rsid w:val="0078530E"/>
    <w:rsid w:val="007B5C68"/>
    <w:rsid w:val="007C268C"/>
    <w:rsid w:val="007E75D6"/>
    <w:rsid w:val="008013B4"/>
    <w:rsid w:val="00836448"/>
    <w:rsid w:val="008D08C8"/>
    <w:rsid w:val="008E113E"/>
    <w:rsid w:val="009142AA"/>
    <w:rsid w:val="0095795C"/>
    <w:rsid w:val="009F3CB3"/>
    <w:rsid w:val="00A011D9"/>
    <w:rsid w:val="00A81B53"/>
    <w:rsid w:val="00A95E3C"/>
    <w:rsid w:val="00AD3FAD"/>
    <w:rsid w:val="00AE7678"/>
    <w:rsid w:val="00B010E0"/>
    <w:rsid w:val="00B338D8"/>
    <w:rsid w:val="00B53870"/>
    <w:rsid w:val="00B82F10"/>
    <w:rsid w:val="00BC5A57"/>
    <w:rsid w:val="00BE5A59"/>
    <w:rsid w:val="00D47C4A"/>
    <w:rsid w:val="00D7037C"/>
    <w:rsid w:val="00E6605E"/>
    <w:rsid w:val="00E72970"/>
    <w:rsid w:val="00ED5767"/>
    <w:rsid w:val="00EE4890"/>
    <w:rsid w:val="00F248B9"/>
    <w:rsid w:val="00F51F40"/>
    <w:rsid w:val="00F73245"/>
    <w:rsid w:val="00F93653"/>
    <w:rsid w:val="00FA6F40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ED718-AA01-45E0-95CE-0674AFAF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1B5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1B53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A81B5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81B53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F936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36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36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36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365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653"/>
    <w:rPr>
      <w:rFonts w:ascii="Tahoma" w:hAnsi="Tahoma" w:cs="Tahoma"/>
      <w:sz w:val="16"/>
      <w:szCs w:val="1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E75D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F248B9"/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C268C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1E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sserellesnumeriques.org/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accenture.com/fr-fr/company-fondatio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centure.com/fr-fr/company-innovation-socia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ille.gouv.fr/IMG/pdf/charte_entreprises_et_quartier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u-lep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FBDC-E60F-4B06-9C05-9D17701E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SABARDINE</dc:creator>
  <cp:lastModifiedBy>Denis SABARDINE</cp:lastModifiedBy>
  <cp:revision>3</cp:revision>
  <dcterms:created xsi:type="dcterms:W3CDTF">2018-03-20T19:01:00Z</dcterms:created>
  <dcterms:modified xsi:type="dcterms:W3CDTF">2018-03-20T19:04:00Z</dcterms:modified>
</cp:coreProperties>
</file>